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79072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7.3pt;width:477.75pt;height:738.75pt;z-index:251657728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9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10" o:title=""/>
              </v:shape>
              <v:shape id="_x0000_s1043" type="#_x0000_t75" alt="þÿ" style="position:absolute;left:9698;top:1314;width:653;height:742">
                <v:imagedata r:id="rId11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D35D93" w:rsidRDefault="00B945E0" w:rsidP="008D4F8A">
      <w:pPr>
        <w:spacing w:before="69"/>
        <w:jc w:val="both"/>
        <w:rPr>
          <w:rFonts w:eastAsia="Arial" w:cs="Arial"/>
          <w:sz w:val="24"/>
          <w:szCs w:val="24"/>
        </w:rPr>
      </w:pPr>
      <w:r w:rsidRPr="00D35D93">
        <w:rPr>
          <w:color w:val="818181"/>
          <w:spacing w:val="-1"/>
          <w:sz w:val="24"/>
        </w:rPr>
        <w:t>D</w:t>
      </w:r>
      <w:r w:rsidR="00531732">
        <w:rPr>
          <w:color w:val="818181"/>
          <w:spacing w:val="-1"/>
          <w:sz w:val="24"/>
        </w:rPr>
        <w:t xml:space="preserve">ie </w:t>
      </w:r>
      <w:proofErr w:type="spellStart"/>
      <w:r w:rsidR="00531732">
        <w:rPr>
          <w:color w:val="818181"/>
          <w:spacing w:val="-1"/>
          <w:sz w:val="24"/>
        </w:rPr>
        <w:t>Sterlet</w:t>
      </w:r>
      <w:proofErr w:type="spellEnd"/>
      <w:r w:rsidRPr="00D35D93">
        <w:rPr>
          <w:color w:val="818181"/>
          <w:spacing w:val="-2"/>
          <w:sz w:val="24"/>
        </w:rPr>
        <w:t xml:space="preserve"> </w:t>
      </w:r>
      <w:r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531732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96pt;margin-top:14.75pt;width:16.15pt;height:116.6pt;z-index:251655680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>
        <w:rPr>
          <w:noProof/>
          <w:color w:val="1F497D" w:themeColor="text2"/>
          <w:spacing w:val="-1"/>
          <w:sz w:val="28"/>
          <w:szCs w:val="28"/>
          <w:lang w:val="de-DE" w:eastAsia="de-DE"/>
        </w:rPr>
        <w:drawing>
          <wp:inline distT="0" distB="0" distL="0" distR="0" wp14:anchorId="06CEA986" wp14:editId="414A31F3">
            <wp:extent cx="5153857" cy="1828800"/>
            <wp:effectExtent l="0" t="0" r="0" b="0"/>
            <wp:docPr id="1" name="Grafik 1" descr="C:\Users\schuetze\Desktop\Fische 300 dpi\Sterlet 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Fische 300 dpi\Sterlet 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20" cy="18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2E" w:rsidRDefault="00C57108" w:rsidP="00BA6771">
      <w:pPr>
        <w:pStyle w:val="berschrift11"/>
        <w:spacing w:line="293" w:lineRule="exact"/>
        <w:ind w:left="0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Stör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>e (</w:t>
      </w:r>
      <w:proofErr w:type="spellStart"/>
      <w:r w:rsidR="0074782E">
        <w:rPr>
          <w:i w:val="0"/>
          <w:color w:val="595958"/>
          <w:spacing w:val="-1"/>
          <w:sz w:val="23"/>
          <w:szCs w:val="23"/>
          <w:lang w:val="de-DE"/>
        </w:rPr>
        <w:t>Acipenseri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74782E">
        <w:rPr>
          <w:i w:val="0"/>
          <w:color w:val="595958"/>
          <w:spacing w:val="-1"/>
          <w:sz w:val="23"/>
          <w:szCs w:val="23"/>
          <w:lang w:val="de-DE"/>
        </w:rPr>
        <w:t>Acipenser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S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terlet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74782E">
        <w:rPr>
          <w:i w:val="0"/>
          <w:color w:val="595958"/>
          <w:spacing w:val="-1"/>
          <w:sz w:val="23"/>
          <w:szCs w:val="23"/>
          <w:lang w:val="de-DE"/>
        </w:rPr>
        <w:t>Acipenser</w:t>
      </w:r>
      <w:proofErr w:type="spellEnd"/>
      <w:r w:rsidR="0074782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74782E">
        <w:rPr>
          <w:i w:val="0"/>
          <w:color w:val="595958"/>
          <w:spacing w:val="-1"/>
          <w:sz w:val="23"/>
          <w:szCs w:val="23"/>
          <w:lang w:val="de-DE"/>
        </w:rPr>
        <w:t>ruthenus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40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6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0 cm, max. 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12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0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April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Juni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74782E" w:rsidRDefault="0074782E" w:rsidP="00BA6771">
      <w:pPr>
        <w:pStyle w:val="berschrift11"/>
        <w:spacing w:line="293" w:lineRule="exact"/>
        <w:ind w:left="0"/>
        <w:rPr>
          <w:color w:val="1F497D" w:themeColor="text2"/>
          <w:spacing w:val="-1"/>
          <w:sz w:val="28"/>
          <w:szCs w:val="28"/>
          <w:lang w:val="de-DE"/>
        </w:rPr>
      </w:pPr>
    </w:p>
    <w:p w:rsidR="0074782E" w:rsidRDefault="0074782E" w:rsidP="0074782E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>
        <w:rPr>
          <w:color w:val="1F497D" w:themeColor="text2"/>
          <w:spacing w:val="-1"/>
          <w:sz w:val="28"/>
          <w:szCs w:val="28"/>
          <w:lang w:val="de-DE"/>
        </w:rPr>
        <w:t>Der Sterlet</w:t>
      </w:r>
      <w:r w:rsidR="008677DB" w:rsidRPr="00AF30C8">
        <w:rPr>
          <w:color w:val="595958"/>
          <w:spacing w:val="-1"/>
          <w:sz w:val="23"/>
          <w:szCs w:val="23"/>
          <w:lang w:val="de-DE"/>
        </w:rPr>
        <w:br/>
      </w:r>
      <w:r w:rsidR="005F6DBB">
        <w:rPr>
          <w:color w:val="595958"/>
          <w:spacing w:val="-1"/>
          <w:sz w:val="23"/>
          <w:szCs w:val="23"/>
          <w:lang w:val="de-DE"/>
        </w:rPr>
        <w:br/>
      </w:r>
      <w:r w:rsidR="00DA403F">
        <w:rPr>
          <w:b/>
          <w:color w:val="595958"/>
          <w:spacing w:val="-1"/>
          <w:sz w:val="23"/>
          <w:szCs w:val="23"/>
          <w:lang w:val="de-DE"/>
        </w:rPr>
        <w:t>Aussehen</w:t>
      </w:r>
    </w:p>
    <w:p w:rsid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Der Sterlet besitzt einen schlanken Körper mit unterständigem, vorstreckbarem Maul. Der Körper hat eine dunkelgraue bis braune Grundfärbung, der Bauch ist weiß-gelblich mit rotem Schimmer. An der leicht aufwärts gebogenen Schnauze sitzen vier gefranste, gleich lange Barteln in einer Querreihe, </w:t>
      </w:r>
    </w:p>
    <w:p w:rsid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die bis zum Rand des Mauls reichen. Insgesamt besitzt er fünf Reihen von Knochenplatten als Körperbedeckung. Die Schwanzflosse ist wie bei allen Stören asymmetrisch aufgebaut, wobei der </w:t>
      </w:r>
    </w:p>
    <w:p w:rsidR="0074782E" w:rsidRPr="0074782E" w:rsidRDefault="0074782E" w:rsidP="0074782E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obere Teil länger als der untere </w:t>
      </w:r>
      <w:proofErr w:type="gramStart"/>
      <w:r w:rsidRPr="0074782E">
        <w:rPr>
          <w:i w:val="0"/>
          <w:color w:val="595958"/>
          <w:spacing w:val="-1"/>
          <w:sz w:val="23"/>
          <w:szCs w:val="23"/>
          <w:lang w:val="de-DE"/>
        </w:rPr>
        <w:t>ist</w:t>
      </w:r>
      <w:proofErr w:type="gramEnd"/>
      <w:r w:rsidRPr="0074782E">
        <w:rPr>
          <w:i w:val="0"/>
          <w:color w:val="595958"/>
          <w:spacing w:val="-1"/>
          <w:sz w:val="23"/>
          <w:szCs w:val="23"/>
          <w:lang w:val="de-DE"/>
        </w:rPr>
        <w:t>. Rücken- und Afterflosse befinden sich im hinteren Körperviertel.</w:t>
      </w:r>
    </w:p>
    <w:p w:rsidR="0074782E" w:rsidRDefault="00BA6771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br/>
      </w:r>
      <w:r w:rsidR="00075BDE" w:rsidRPr="00A25797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74782E" w:rsidRPr="0074782E">
        <w:rPr>
          <w:i w:val="0"/>
          <w:color w:val="595958"/>
          <w:spacing w:val="-1"/>
          <w:sz w:val="23"/>
          <w:szCs w:val="23"/>
          <w:lang w:val="de-DE"/>
        </w:rPr>
        <w:t>Bewohnt(e) große Flüsse, die ins Schwarze, Kaspische und Asowsche Meer münden. Er lebt boden</w:t>
      </w:r>
      <w:r w:rsidR="0074782E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74782E"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orientiert, in den tieferen Bereichen der Flüsse. Es gibt Belege, dass in der bayerischen Donau ein </w:t>
      </w:r>
    </w:p>
    <w:p w:rsid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eigener Bestand überlebt hat. Der Sterlet unternimmt wie seine Verwandten weite </w:t>
      </w:r>
      <w:proofErr w:type="spellStart"/>
      <w:r w:rsidRPr="0074782E">
        <w:rPr>
          <w:i w:val="0"/>
          <w:color w:val="595958"/>
          <w:spacing w:val="-1"/>
          <w:sz w:val="23"/>
          <w:szCs w:val="23"/>
          <w:lang w:val="de-DE"/>
        </w:rPr>
        <w:t>Laichwanderun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gen um an kiesigen Stellen mit starker Strömung </w:t>
      </w:r>
      <w:r>
        <w:rPr>
          <w:i w:val="0"/>
          <w:color w:val="595958"/>
          <w:spacing w:val="-1"/>
          <w:sz w:val="23"/>
          <w:szCs w:val="23"/>
          <w:lang w:val="de-DE"/>
        </w:rPr>
        <w:t>seine Eier abzulegen</w:t>
      </w: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.  Als reiner Süßwasserstör </w:t>
      </w:r>
    </w:p>
    <w:p w:rsid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dringt er jedoch nur selten bis in die Brackwasserregion vor. Die Brut wird nach dem Schlupf von der Strömung fortgetragen. Die Geschlechtsreife tritt beim Milchner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(Männchen) </w:t>
      </w: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erst nach 3-5 Jahren, </w:t>
      </w:r>
    </w:p>
    <w:p w:rsid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beim Rogner </w:t>
      </w:r>
      <w:r>
        <w:rPr>
          <w:i w:val="0"/>
          <w:color w:val="595958"/>
          <w:spacing w:val="-1"/>
          <w:sz w:val="23"/>
          <w:szCs w:val="23"/>
          <w:lang w:val="de-DE"/>
        </w:rPr>
        <w:t>(Weibchen) erst nach 7-9 Jahren ein, sie beginnen also erst sehr spät mit der Fort-</w:t>
      </w:r>
    </w:p>
    <w:p w:rsidR="00BA6771" w:rsidRPr="0074782E" w:rsidRDefault="0074782E" w:rsidP="0074782E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pflanzung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>.</w:t>
      </w:r>
      <w:r w:rsidRPr="0074782E">
        <w:rPr>
          <w:i w:val="0"/>
          <w:color w:val="595958"/>
          <w:spacing w:val="-1"/>
          <w:sz w:val="23"/>
          <w:szCs w:val="23"/>
          <w:lang w:val="de-DE"/>
        </w:rPr>
        <w:br/>
      </w:r>
      <w:r w:rsidR="00D967C9" w:rsidRPr="005F6DBB">
        <w:rPr>
          <w:color w:val="595958"/>
          <w:spacing w:val="-1"/>
          <w:sz w:val="23"/>
          <w:szCs w:val="23"/>
          <w:lang w:val="de-DE"/>
        </w:rPr>
        <w:br/>
      </w:r>
      <w:r w:rsidR="00606F2F" w:rsidRPr="003D282F">
        <w:rPr>
          <w:b/>
          <w:color w:val="595958"/>
          <w:spacing w:val="-1"/>
          <w:sz w:val="23"/>
          <w:szCs w:val="23"/>
          <w:lang w:val="de-DE"/>
        </w:rPr>
        <w:t>Nahrung</w:t>
      </w:r>
      <w:r w:rsidR="00606F2F">
        <w:rPr>
          <w:color w:val="595958"/>
          <w:spacing w:val="-1"/>
          <w:sz w:val="23"/>
          <w:szCs w:val="23"/>
          <w:lang w:val="de-DE"/>
        </w:rPr>
        <w:br/>
      </w:r>
      <w:bookmarkStart w:id="1" w:name="Einst_in_Bayern_heimisch"/>
      <w:bookmarkStart w:id="2" w:name="Fossile_Bewohner_bayerischer_Flüsse"/>
      <w:bookmarkEnd w:id="1"/>
      <w:bookmarkEnd w:id="2"/>
      <w:r w:rsidRPr="0074782E">
        <w:rPr>
          <w:i w:val="0"/>
          <w:color w:val="595958"/>
          <w:spacing w:val="-1"/>
          <w:sz w:val="23"/>
          <w:szCs w:val="23"/>
          <w:lang w:val="de-DE"/>
        </w:rPr>
        <w:t>Wirbellose Bodentiere wie Würmer, Schnecken, Insektenlarven und Kleinkrebse.</w:t>
      </w:r>
      <w:r w:rsidR="00730E50" w:rsidRPr="0074782E">
        <w:rPr>
          <w:i w:val="0"/>
          <w:color w:val="595958"/>
          <w:spacing w:val="-1"/>
          <w:sz w:val="23"/>
          <w:szCs w:val="23"/>
          <w:lang w:val="de-DE"/>
        </w:rPr>
        <w:br/>
      </w:r>
      <w:r w:rsidR="00E30400">
        <w:rPr>
          <w:b/>
          <w:color w:val="595958"/>
          <w:spacing w:val="-1"/>
          <w:sz w:val="23"/>
          <w:szCs w:val="23"/>
          <w:lang w:val="de-DE"/>
        </w:rPr>
        <w:br/>
      </w:r>
      <w:r w:rsidR="002241DB" w:rsidRPr="00A25797">
        <w:rPr>
          <w:b/>
          <w:color w:val="595958"/>
          <w:spacing w:val="-1"/>
          <w:sz w:val="23"/>
          <w:szCs w:val="23"/>
          <w:lang w:val="de-DE"/>
        </w:rPr>
        <w:t>Gefährdung</w:t>
      </w:r>
      <w:r w:rsidR="00EC1FF0">
        <w:rPr>
          <w:b/>
          <w:color w:val="595958"/>
          <w:spacing w:val="-1"/>
          <w:sz w:val="23"/>
          <w:szCs w:val="23"/>
          <w:lang w:val="de-DE"/>
        </w:rPr>
        <w:br/>
      </w:r>
      <w:r w:rsidRPr="0074782E">
        <w:rPr>
          <w:i w:val="0"/>
          <w:color w:val="595958"/>
          <w:spacing w:val="-1"/>
          <w:sz w:val="23"/>
          <w:szCs w:val="23"/>
          <w:lang w:val="de-DE"/>
        </w:rPr>
        <w:t>Verlust der Laichplätze, Zerstückelung des Lebensraums</w:t>
      </w:r>
      <w:r w:rsidR="0079072B">
        <w:rPr>
          <w:i w:val="0"/>
          <w:color w:val="595958"/>
          <w:spacing w:val="-1"/>
          <w:sz w:val="23"/>
          <w:szCs w:val="23"/>
          <w:lang w:val="de-DE"/>
        </w:rPr>
        <w:t xml:space="preserve"> durch Wasserkraftwerke und andere Querbauwerke</w:t>
      </w: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79072B">
        <w:rPr>
          <w:i w:val="0"/>
          <w:color w:val="595958"/>
          <w:spacing w:val="-1"/>
          <w:sz w:val="23"/>
          <w:szCs w:val="23"/>
          <w:lang w:val="de-DE"/>
        </w:rPr>
        <w:t>sowie</w:t>
      </w:r>
      <w:r w:rsidRPr="0074782E">
        <w:rPr>
          <w:i w:val="0"/>
          <w:color w:val="595958"/>
          <w:spacing w:val="-1"/>
          <w:sz w:val="23"/>
          <w:szCs w:val="23"/>
          <w:lang w:val="de-DE"/>
        </w:rPr>
        <w:t xml:space="preserve"> Gewässerverschmutzung.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p w:rsidR="006A05E8" w:rsidRPr="006A05E8" w:rsidRDefault="006A05E8" w:rsidP="00315493">
      <w:pPr>
        <w:pStyle w:val="berschrift11"/>
        <w:spacing w:line="293" w:lineRule="exact"/>
        <w:rPr>
          <w:i w:val="0"/>
          <w:color w:val="595958"/>
          <w:spacing w:val="-1"/>
          <w:sz w:val="16"/>
          <w:szCs w:val="16"/>
          <w:lang w:val="de-DE"/>
        </w:rPr>
      </w:pPr>
      <w:bookmarkStart w:id="3" w:name="_GoBack"/>
      <w:bookmarkEnd w:id="3"/>
    </w:p>
    <w:sectPr w:rsidR="006A05E8" w:rsidRPr="006A05E8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1" w:rsidRDefault="00CA4691" w:rsidP="00F7085D">
      <w:r>
        <w:separator/>
      </w:r>
    </w:p>
  </w:endnote>
  <w:endnote w:type="continuationSeparator" w:id="0">
    <w:p w:rsidR="00CA4691" w:rsidRDefault="00CA4691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1" w:rsidRDefault="00CA4691" w:rsidP="00F7085D">
      <w:r>
        <w:separator/>
      </w:r>
    </w:p>
  </w:footnote>
  <w:footnote w:type="continuationSeparator" w:id="0">
    <w:p w:rsidR="00CA4691" w:rsidRDefault="00CA4691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0202A2"/>
    <w:rsid w:val="000213D7"/>
    <w:rsid w:val="0005538E"/>
    <w:rsid w:val="00075BDE"/>
    <w:rsid w:val="000850DB"/>
    <w:rsid w:val="000B4D2C"/>
    <w:rsid w:val="00130D7B"/>
    <w:rsid w:val="00156990"/>
    <w:rsid w:val="00161920"/>
    <w:rsid w:val="00163DE6"/>
    <w:rsid w:val="001B0FD9"/>
    <w:rsid w:val="001B1D87"/>
    <w:rsid w:val="001E1502"/>
    <w:rsid w:val="002241DB"/>
    <w:rsid w:val="002244B5"/>
    <w:rsid w:val="00254DEA"/>
    <w:rsid w:val="00271D4D"/>
    <w:rsid w:val="00277FFB"/>
    <w:rsid w:val="002C7F1B"/>
    <w:rsid w:val="002F71D0"/>
    <w:rsid w:val="0031055C"/>
    <w:rsid w:val="00315493"/>
    <w:rsid w:val="00326215"/>
    <w:rsid w:val="003568D6"/>
    <w:rsid w:val="00395933"/>
    <w:rsid w:val="003C01AA"/>
    <w:rsid w:val="003D282F"/>
    <w:rsid w:val="003E639D"/>
    <w:rsid w:val="00402EB2"/>
    <w:rsid w:val="00427FE7"/>
    <w:rsid w:val="00473569"/>
    <w:rsid w:val="0049587D"/>
    <w:rsid w:val="004A7495"/>
    <w:rsid w:val="00531732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A05E8"/>
    <w:rsid w:val="006C2623"/>
    <w:rsid w:val="00730E50"/>
    <w:rsid w:val="007455BD"/>
    <w:rsid w:val="0074782E"/>
    <w:rsid w:val="007850FB"/>
    <w:rsid w:val="0079072B"/>
    <w:rsid w:val="007924D2"/>
    <w:rsid w:val="00811429"/>
    <w:rsid w:val="00814F06"/>
    <w:rsid w:val="00842079"/>
    <w:rsid w:val="008663CA"/>
    <w:rsid w:val="008677DB"/>
    <w:rsid w:val="00877577"/>
    <w:rsid w:val="0088362E"/>
    <w:rsid w:val="0089038F"/>
    <w:rsid w:val="008A2295"/>
    <w:rsid w:val="008B5430"/>
    <w:rsid w:val="008B5B24"/>
    <w:rsid w:val="008B6699"/>
    <w:rsid w:val="008B7C87"/>
    <w:rsid w:val="008C072C"/>
    <w:rsid w:val="008D4F8A"/>
    <w:rsid w:val="008D53B7"/>
    <w:rsid w:val="00931164"/>
    <w:rsid w:val="00940F2A"/>
    <w:rsid w:val="0098406D"/>
    <w:rsid w:val="009D5DCB"/>
    <w:rsid w:val="009E12CF"/>
    <w:rsid w:val="009F026F"/>
    <w:rsid w:val="009F41CF"/>
    <w:rsid w:val="00A25797"/>
    <w:rsid w:val="00A4213A"/>
    <w:rsid w:val="00A452AE"/>
    <w:rsid w:val="00A571C0"/>
    <w:rsid w:val="00A77175"/>
    <w:rsid w:val="00AF30C8"/>
    <w:rsid w:val="00B11580"/>
    <w:rsid w:val="00B13AA3"/>
    <w:rsid w:val="00B330FA"/>
    <w:rsid w:val="00B945E0"/>
    <w:rsid w:val="00BA6771"/>
    <w:rsid w:val="00BB0ABD"/>
    <w:rsid w:val="00C31AB4"/>
    <w:rsid w:val="00C57108"/>
    <w:rsid w:val="00C7479C"/>
    <w:rsid w:val="00C83CD8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74E0"/>
    <w:rsid w:val="00E30400"/>
    <w:rsid w:val="00E45F6C"/>
    <w:rsid w:val="00E70ADF"/>
    <w:rsid w:val="00E90CBB"/>
    <w:rsid w:val="00EC1FF0"/>
    <w:rsid w:val="00EC5241"/>
    <w:rsid w:val="00EE4AFD"/>
    <w:rsid w:val="00EE5197"/>
    <w:rsid w:val="00F36C27"/>
    <w:rsid w:val="00F7085D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430C-A4BA-4124-8117-3B23768E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47</cp:revision>
  <dcterms:created xsi:type="dcterms:W3CDTF">2014-06-03T10:53:00Z</dcterms:created>
  <dcterms:modified xsi:type="dcterms:W3CDTF">2017-10-27T09:00:00Z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